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AF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 w:line="900" w:lineRule="exact"/>
        <w:jc w:val="center"/>
        <w:textAlignment w:val="auto"/>
        <w:rPr>
          <w:rFonts w:hint="eastAsia" w:ascii="方正小标宋简体" w:eastAsia="方正小标宋简体"/>
          <w:color w:val="FF0000"/>
          <w:spacing w:val="0"/>
          <w:w w:val="90"/>
          <w:sz w:val="66"/>
          <w:szCs w:val="6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13"/>
          <w:w w:val="90"/>
          <w:sz w:val="66"/>
          <w:szCs w:val="66"/>
        </w:rPr>
        <w:t>河南开放大学</w:t>
      </w:r>
      <w:r>
        <w:rPr>
          <w:rFonts w:hint="eastAsia" w:ascii="方正小标宋简体" w:eastAsia="方正小标宋简体"/>
          <w:color w:val="FF0000"/>
          <w:spacing w:val="113"/>
          <w:w w:val="90"/>
          <w:sz w:val="66"/>
          <w:szCs w:val="66"/>
          <w:lang w:val="en-US" w:eastAsia="zh-CN"/>
        </w:rPr>
        <w:t>处室文</w:t>
      </w:r>
      <w:r>
        <w:rPr>
          <w:rFonts w:hint="eastAsia" w:ascii="方正小标宋简体" w:eastAsia="方正小标宋简体"/>
          <w:color w:val="FF0000"/>
          <w:spacing w:val="0"/>
          <w:w w:val="90"/>
          <w:sz w:val="66"/>
          <w:szCs w:val="66"/>
          <w:lang w:val="en-US" w:eastAsia="zh-CN"/>
        </w:rPr>
        <w:t>件</w:t>
      </w:r>
      <w:bookmarkStart w:id="0" w:name="_GoBack"/>
      <w:bookmarkEnd w:id="0"/>
    </w:p>
    <w:p w14:paraId="25E17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50" w:after="227" w:afterLines="50" w:line="900" w:lineRule="exact"/>
        <w:jc w:val="right"/>
        <w:textAlignment w:val="auto"/>
        <w:rPr>
          <w:rFonts w:hint="eastAsia" w:ascii="方正小标宋简体" w:eastAsia="方正小标宋简体"/>
          <w:color w:val="FF0000"/>
          <w:spacing w:val="0"/>
          <w:w w:val="90"/>
          <w:sz w:val="66"/>
          <w:szCs w:val="6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ge">
                  <wp:posOffset>1694180</wp:posOffset>
                </wp:positionV>
                <wp:extent cx="6168390" cy="0"/>
                <wp:effectExtent l="0" t="25400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1pt;margin-top:133.4pt;height:0pt;width:485.7pt;mso-position-vertical-relative:page;z-index:251660288;mso-width-relative:page;mso-height-relative:page;" filled="f" stroked="t" coordsize="21600,21600" o:gfxdata="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Lfeu2QAAAAsBAAAP&#10;AAAAAAAAAAEAIAAAACIAAABkcnMvZG93bnJldi54bWxQSwECFAAUAAAACACHTuJAjA/CFd4BAACh&#10;AwAADgAAAAAAAAABACAAAAAoAQAAZHJzL2Uyb0RvYy54bWxQSwUGAAAAAAYABgBZAQAAeAUAAAAA&#10;">
                <v:fill on="f" focussize="0,0"/>
                <v:stroke weight="4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教函〔202</w:t>
      </w:r>
      <w:r>
        <w:rPr>
          <w:rStyle w:val="7"/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〕</w:t>
      </w:r>
      <w:r>
        <w:rPr>
          <w:rStyle w:val="7"/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35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号</w:t>
      </w:r>
    </w:p>
    <w:p w14:paraId="7021CA9C">
      <w:pPr>
        <w:spacing w:line="700" w:lineRule="exact"/>
        <w:jc w:val="both"/>
        <w:rPr>
          <w:rFonts w:hint="eastAsia" w:ascii="方正小标宋简体" w:hAnsi="仿宋" w:eastAsia="方正小标宋简体"/>
          <w:kern w:val="0"/>
          <w:sz w:val="44"/>
          <w:szCs w:val="44"/>
        </w:rPr>
      </w:pPr>
    </w:p>
    <w:p w14:paraId="524A5AFD">
      <w:pPr>
        <w:spacing w:line="70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河南开放大学关于2024年秋季学期</w:t>
      </w:r>
    </w:p>
    <w:p w14:paraId="684B0770">
      <w:pPr>
        <w:spacing w:line="7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学士学位授予工作情况的通报</w:t>
      </w:r>
    </w:p>
    <w:p w14:paraId="02DB70CB">
      <w:pPr>
        <w:spacing w:line="250" w:lineRule="auto"/>
        <w:rPr>
          <w:rFonts w:ascii="Arial"/>
          <w:sz w:val="21"/>
        </w:rPr>
      </w:pPr>
    </w:p>
    <w:p w14:paraId="7B61026C">
      <w:pPr>
        <w:spacing w:line="250" w:lineRule="auto"/>
        <w:rPr>
          <w:rFonts w:ascii="Arial"/>
          <w:sz w:val="21"/>
        </w:rPr>
      </w:pPr>
    </w:p>
    <w:p w14:paraId="46C0632F">
      <w:pPr>
        <w:spacing w:line="250" w:lineRule="auto"/>
        <w:rPr>
          <w:rFonts w:ascii="Arial"/>
          <w:sz w:val="21"/>
        </w:rPr>
      </w:pPr>
    </w:p>
    <w:p w14:paraId="53E0EE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</w:pPr>
      <w:r>
        <w:rPr>
          <w:rFonts w:hint="eastAsia"/>
          <w:spacing w:val="2"/>
          <w:lang w:val="en-US" w:eastAsia="zh-CN"/>
        </w:rPr>
        <w:t>各市级开大，学校各相关部门</w:t>
      </w:r>
      <w:r>
        <w:rPr>
          <w:spacing w:val="2"/>
        </w:rPr>
        <w:t>：</w:t>
      </w:r>
    </w:p>
    <w:p w14:paraId="48BB3B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/>
        <w:jc w:val="both"/>
        <w:textAlignment w:val="baseline"/>
      </w:pPr>
      <w:r>
        <w:rPr>
          <w:rFonts w:hint="eastAsia"/>
          <w:spacing w:val="6"/>
          <w:lang w:val="en-US" w:eastAsia="zh-CN"/>
        </w:rPr>
        <w:t>河南</w:t>
      </w:r>
      <w:r>
        <w:rPr>
          <w:spacing w:val="6"/>
        </w:rPr>
        <w:t>开放大学</w:t>
      </w:r>
      <w:r>
        <w:rPr>
          <w:rFonts w:ascii="Times New Roman" w:hAnsi="Times New Roman" w:eastAsia="Times New Roman" w:cs="Times New Roman"/>
          <w:spacing w:val="6"/>
        </w:rPr>
        <w:t xml:space="preserve">2024 </w:t>
      </w:r>
      <w:r>
        <w:rPr>
          <w:spacing w:val="6"/>
        </w:rPr>
        <w:t>年秋季学期学士学位授予工作</w:t>
      </w:r>
      <w:r>
        <w:rPr>
          <w:rFonts w:hint="eastAsia"/>
          <w:spacing w:val="6"/>
          <w:lang w:val="en-US" w:eastAsia="zh-CN"/>
        </w:rPr>
        <w:t>共有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市级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开大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提交了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涉及14个专业共计65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名学生的学位申请材料</w:t>
      </w:r>
      <w:r>
        <w:rPr>
          <w:spacing w:val="5"/>
        </w:rPr>
        <w:t>。目前，</w:t>
      </w:r>
      <w:r>
        <w:rPr>
          <w:rFonts w:ascii="Times New Roman" w:hAnsi="Times New Roman" w:eastAsia="Times New Roman" w:cs="Times New Roman"/>
          <w:spacing w:val="6"/>
        </w:rPr>
        <w:t xml:space="preserve">2024 </w:t>
      </w:r>
      <w:r>
        <w:rPr>
          <w:spacing w:val="6"/>
        </w:rPr>
        <w:t>年秋季学期</w:t>
      </w:r>
      <w:r>
        <w:rPr>
          <w:rFonts w:hint="eastAsia"/>
          <w:spacing w:val="5"/>
          <w:lang w:val="en-US" w:eastAsia="zh-CN"/>
        </w:rPr>
        <w:t>学位</w:t>
      </w:r>
      <w:r>
        <w:rPr>
          <w:spacing w:val="5"/>
        </w:rPr>
        <w:t>授</w:t>
      </w:r>
      <w:r>
        <w:rPr>
          <w:spacing w:val="8"/>
        </w:rPr>
        <w:t>予工作已经结束，</w:t>
      </w:r>
      <w:r>
        <w:rPr>
          <w:rFonts w:hint="eastAsia"/>
          <w:spacing w:val="8"/>
          <w:lang w:val="en-US" w:eastAsia="zh-CN"/>
        </w:rPr>
        <w:t>现将</w:t>
      </w:r>
      <w:r>
        <w:rPr>
          <w:spacing w:val="8"/>
        </w:rPr>
        <w:t>有关情况通报如下。</w:t>
      </w:r>
    </w:p>
    <w:p w14:paraId="0AA96E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一、总体情况</w:t>
      </w:r>
    </w:p>
    <w:p w14:paraId="77BE7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一）学位审核情况</w:t>
      </w:r>
    </w:p>
    <w:p w14:paraId="184B61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9"/>
        <w:textAlignment w:val="baseline"/>
      </w:pPr>
      <w:r>
        <w:rPr>
          <w:rFonts w:ascii="Times New Roman" w:hAnsi="Times New Roman" w:eastAsia="Times New Roman" w:cs="Times New Roman"/>
          <w:spacing w:val="-3"/>
        </w:rPr>
        <w:t>1. 2024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年</w:t>
      </w:r>
      <w:r>
        <w:rPr>
          <w:spacing w:val="-36"/>
        </w:rPr>
        <w:t xml:space="preserve"> 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3"/>
        </w:rPr>
        <w:t xml:space="preserve">  </w:t>
      </w:r>
      <w:r>
        <w:rPr>
          <w:spacing w:val="-3"/>
        </w:rPr>
        <w:t>日</w:t>
      </w:r>
      <w:r>
        <w:rPr>
          <w:rFonts w:hint="eastAsia"/>
          <w:spacing w:val="-3"/>
          <w:lang w:val="en-US" w:eastAsia="zh-CN"/>
        </w:rPr>
        <w:t xml:space="preserve">至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年</w:t>
      </w:r>
      <w:r>
        <w:rPr>
          <w:spacing w:val="-36"/>
        </w:rPr>
        <w:t xml:space="preserve"> 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30</w:t>
      </w:r>
      <w:r>
        <w:rPr>
          <w:rFonts w:ascii="Times New Roman" w:hAnsi="Times New Roman" w:eastAsia="Times New Roman" w:cs="Times New Roman"/>
          <w:spacing w:val="-3"/>
        </w:rPr>
        <w:t xml:space="preserve">  </w:t>
      </w:r>
      <w:r>
        <w:rPr>
          <w:spacing w:val="-3"/>
        </w:rPr>
        <w:t>日，经</w:t>
      </w:r>
      <w:r>
        <w:rPr>
          <w:rFonts w:hint="eastAsia"/>
          <w:spacing w:val="-3"/>
          <w:lang w:val="en-US" w:eastAsia="zh-CN"/>
        </w:rPr>
        <w:t>河南</w:t>
      </w:r>
      <w:r>
        <w:rPr>
          <w:spacing w:val="-3"/>
        </w:rPr>
        <w:t>开放大</w:t>
      </w:r>
      <w:r>
        <w:rPr>
          <w:spacing w:val="-4"/>
        </w:rPr>
        <w:t>学</w:t>
      </w:r>
      <w:r>
        <w:rPr>
          <w:rFonts w:hint="eastAsia"/>
          <w:spacing w:val="-4"/>
          <w:lang w:val="en-US" w:eastAsia="zh-CN"/>
        </w:rPr>
        <w:t>各学院</w:t>
      </w:r>
      <w:r>
        <w:rPr>
          <w:spacing w:val="7"/>
        </w:rPr>
        <w:t>对</w:t>
      </w:r>
      <w:r>
        <w:rPr>
          <w:rFonts w:hint="eastAsia"/>
          <w:spacing w:val="7"/>
          <w:lang w:val="en-US" w:eastAsia="zh-CN"/>
        </w:rPr>
        <w:t>各市级开大</w:t>
      </w:r>
      <w:r>
        <w:rPr>
          <w:spacing w:val="7"/>
        </w:rPr>
        <w:t>提交的学位申请材料进行</w:t>
      </w:r>
      <w:r>
        <w:rPr>
          <w:rFonts w:hint="eastAsia"/>
          <w:spacing w:val="7"/>
          <w:lang w:val="en-US" w:eastAsia="zh-CN"/>
        </w:rPr>
        <w:t>初审</w:t>
      </w:r>
      <w:r>
        <w:rPr>
          <w:spacing w:val="7"/>
        </w:rPr>
        <w:t>，</w:t>
      </w:r>
      <w:r>
        <w:rPr>
          <w:rFonts w:hint="eastAsia"/>
          <w:spacing w:val="-3"/>
          <w:lang w:val="en-US" w:eastAsia="zh-CN"/>
        </w:rPr>
        <w:t>河南</w:t>
      </w:r>
      <w:r>
        <w:rPr>
          <w:spacing w:val="-3"/>
        </w:rPr>
        <w:t>开放大</w:t>
      </w:r>
      <w:r>
        <w:rPr>
          <w:spacing w:val="-4"/>
        </w:rPr>
        <w:t>学</w:t>
      </w:r>
      <w:r>
        <w:rPr>
          <w:rFonts w:hint="eastAsia"/>
          <w:spacing w:val="-4"/>
          <w:lang w:val="en-US" w:eastAsia="zh-CN"/>
        </w:rPr>
        <w:t>教务处对</w:t>
      </w:r>
      <w:r>
        <w:rPr>
          <w:spacing w:val="7"/>
        </w:rPr>
        <w:t>学位申请材料进行</w:t>
      </w:r>
      <w:r>
        <w:rPr>
          <w:rFonts w:hint="eastAsia"/>
          <w:spacing w:val="7"/>
          <w:lang w:val="en-US" w:eastAsia="zh-CN"/>
        </w:rPr>
        <w:t>查重、复审，并召开河南开放大学学位审核委员会对</w:t>
      </w:r>
      <w:r>
        <w:rPr>
          <w:spacing w:val="7"/>
        </w:rPr>
        <w:t>学位申请材料</w:t>
      </w:r>
      <w:r>
        <w:rPr>
          <w:rFonts w:hint="eastAsia"/>
          <w:spacing w:val="7"/>
          <w:lang w:val="en-US" w:eastAsia="zh-CN"/>
        </w:rPr>
        <w:t>进行评议，</w:t>
      </w:r>
      <w:r>
        <w:rPr>
          <w:spacing w:val="7"/>
        </w:rPr>
        <w:t>共</w:t>
      </w:r>
      <w:r>
        <w:rPr>
          <w:rFonts w:hint="eastAsia"/>
          <w:spacing w:val="7"/>
          <w:lang w:val="en-US" w:eastAsia="zh-CN"/>
        </w:rPr>
        <w:t>向国开提交</w:t>
      </w:r>
      <w:r>
        <w:rPr>
          <w:rFonts w:hint="eastAsia" w:ascii="Times New Roman" w:hAnsi="Times New Roman" w:eastAsia="宋体" w:cs="Times New Roman"/>
          <w:spacing w:val="7"/>
          <w:lang w:val="en-US" w:eastAsia="zh-CN"/>
        </w:rPr>
        <w:t>62</w:t>
      </w:r>
      <w:r>
        <w:rPr>
          <w:spacing w:val="7"/>
        </w:rPr>
        <w:t>名</w:t>
      </w:r>
      <w:r>
        <w:rPr>
          <w:spacing w:val="4"/>
        </w:rPr>
        <w:t>学生</w:t>
      </w:r>
      <w:r>
        <w:rPr>
          <w:rFonts w:hint="eastAsia"/>
          <w:spacing w:val="4"/>
          <w:lang w:val="en-US" w:eastAsia="zh-CN"/>
        </w:rPr>
        <w:t>的学位申报材料</w:t>
      </w:r>
      <w:r>
        <w:rPr>
          <w:spacing w:val="4"/>
        </w:rPr>
        <w:t>。</w:t>
      </w:r>
    </w:p>
    <w:p w14:paraId="3CCEA3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/>
        <w:textAlignment w:val="baseline"/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bidi="mn-Mon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ge">
                  <wp:posOffset>9850120</wp:posOffset>
                </wp:positionV>
                <wp:extent cx="6168390" cy="0"/>
                <wp:effectExtent l="0" t="25400" r="381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85pt;margin-top:775.6pt;height:0pt;width:485.7pt;mso-position-vertical-relative:page;z-index:251661312;mso-width-relative:page;mso-height-relative:page;" filled="f" stroked="t" coordsize="21600,21600" o:gfxdata="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9EAv2wAAAA0B&#10;AAAPAAAAAAAAAAEAIAAAACIAAABkcnMvZG93bnJldi54bWxQSwECFAAUAAAACACHTuJAHml4ot8B&#10;AAChAwAADgAAAAAAAAABACAAAAAqAQAAZHJzL2Uyb0RvYy54bWxQSwUGAAAAAAYABgBZAQAAewUA&#10;AAAA&#10;">
                <v:fill on="f" focussize="0,0"/>
                <v:stroke weight="4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pacing w:val="-5"/>
        </w:rPr>
        <w:t>2.  2024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5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5"/>
        </w:rPr>
        <w:t>月至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5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5"/>
        </w:rPr>
        <w:t>月，</w:t>
      </w:r>
      <w:r>
        <w:rPr>
          <w:rFonts w:hint="eastAsia"/>
          <w:spacing w:val="-5"/>
          <w:lang w:val="en-US" w:eastAsia="zh-CN"/>
        </w:rPr>
        <w:t>国家开放大学学位办公室对分部、学院提交的学位申请材料进行审核，</w:t>
      </w:r>
      <w:r>
        <w:rPr>
          <w:rFonts w:hint="eastAsia"/>
          <w:spacing w:val="-6"/>
          <w:lang w:val="en-US" w:eastAsia="zh-CN"/>
        </w:rPr>
        <w:t>并</w:t>
      </w:r>
      <w:r>
        <w:rPr>
          <w:spacing w:val="-4"/>
        </w:rPr>
        <w:t>召开</w:t>
      </w:r>
      <w:r>
        <w:rPr>
          <w:rFonts w:hint="eastAsia"/>
          <w:spacing w:val="-4"/>
        </w:rPr>
        <w:t>学位评定委员会</w:t>
      </w:r>
      <w:r>
        <w:rPr>
          <w:spacing w:val="-4"/>
        </w:rPr>
        <w:t>，</w:t>
      </w:r>
      <w:r>
        <w:rPr>
          <w:spacing w:val="3"/>
        </w:rPr>
        <w:t>审议决定授予学士学位名单。</w:t>
      </w:r>
    </w:p>
    <w:p w14:paraId="5A82C2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/>
        <w:textAlignment w:val="baseline"/>
        <w:rPr>
          <w:rFonts w:ascii="楷体" w:hAnsi="楷体" w:eastAsia="楷体" w:cs="楷体"/>
          <w:spacing w:val="8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（二）学位授予情况</w:t>
      </w:r>
    </w:p>
    <w:p w14:paraId="022EE9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/>
        <w:textAlignment w:val="baseline"/>
        <w:rPr>
          <w:rFonts w:hint="default"/>
          <w:spacing w:val="8"/>
          <w:lang w:val="en-US" w:eastAsia="zh-CN"/>
        </w:rPr>
      </w:pPr>
      <w:r>
        <w:rPr>
          <w:rFonts w:hint="eastAsia"/>
          <w:spacing w:val="2"/>
          <w:lang w:val="en-US" w:eastAsia="zh-CN"/>
        </w:rPr>
        <w:t>2024年秋季学期，河南开放大学共有62名学生申报</w:t>
      </w:r>
      <w:r>
        <w:rPr>
          <w:spacing w:val="8"/>
        </w:rPr>
        <w:t>国家开放大学学士学位</w:t>
      </w:r>
      <w:r>
        <w:rPr>
          <w:rFonts w:hint="eastAsia"/>
          <w:spacing w:val="8"/>
          <w:lang w:eastAsia="zh-CN"/>
        </w:rPr>
        <w:t>，</w:t>
      </w:r>
      <w:r>
        <w:rPr>
          <w:rFonts w:hint="eastAsia"/>
          <w:spacing w:val="2"/>
          <w:lang w:val="en-US" w:eastAsia="zh-CN"/>
        </w:rPr>
        <w:t>56名学生被授予</w:t>
      </w:r>
      <w:r>
        <w:rPr>
          <w:spacing w:val="8"/>
        </w:rPr>
        <w:t>国家开放大学学士学位</w:t>
      </w:r>
      <w:r>
        <w:rPr>
          <w:rFonts w:hint="eastAsia"/>
          <w:spacing w:val="8"/>
          <w:lang w:eastAsia="zh-CN"/>
        </w:rPr>
        <w:t>，</w:t>
      </w:r>
      <w:r>
        <w:rPr>
          <w:rFonts w:hint="eastAsia"/>
          <w:spacing w:val="8"/>
          <w:lang w:val="en-US" w:eastAsia="zh-CN"/>
        </w:rPr>
        <w:t>6名学生的学位申请被退回，学位授予率90.32%。各市级开大申报学位学生数量，详见图表1：</w:t>
      </w:r>
    </w:p>
    <w:tbl>
      <w:tblPr>
        <w:tblStyle w:val="5"/>
        <w:tblW w:w="8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1710"/>
        <w:gridCol w:w="1935"/>
        <w:gridCol w:w="1709"/>
      </w:tblGrid>
      <w:tr w14:paraId="1C13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所属市级开大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申报学位学生数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学位申请率</w:t>
            </w:r>
          </w:p>
        </w:tc>
      </w:tr>
      <w:tr w14:paraId="00A3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1.46%</w:t>
            </w:r>
          </w:p>
        </w:tc>
      </w:tr>
      <w:tr w14:paraId="3E90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1.90%</w:t>
            </w:r>
          </w:p>
        </w:tc>
      </w:tr>
      <w:tr w14:paraId="6380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1.17%</w:t>
            </w:r>
          </w:p>
        </w:tc>
      </w:tr>
      <w:tr w14:paraId="3EFB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1.10%</w:t>
            </w:r>
          </w:p>
        </w:tc>
      </w:tr>
      <w:tr w14:paraId="1619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郑铁开放学院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7.14%</w:t>
            </w:r>
          </w:p>
        </w:tc>
      </w:tr>
      <w:tr w14:paraId="5968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2.10%</w:t>
            </w:r>
          </w:p>
        </w:tc>
      </w:tr>
      <w:tr w14:paraId="4404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1.97%</w:t>
            </w:r>
          </w:p>
        </w:tc>
      </w:tr>
      <w:tr w14:paraId="1FF8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0.72%</w:t>
            </w:r>
          </w:p>
        </w:tc>
      </w:tr>
      <w:tr w14:paraId="697E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1.12%</w:t>
            </w:r>
          </w:p>
        </w:tc>
      </w:tr>
      <w:tr w14:paraId="5E0C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0.77%</w:t>
            </w:r>
          </w:p>
        </w:tc>
      </w:tr>
      <w:tr w14:paraId="1B95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0.50%</w:t>
            </w:r>
          </w:p>
        </w:tc>
      </w:tr>
      <w:tr w14:paraId="149D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1.02%</w:t>
            </w:r>
          </w:p>
        </w:tc>
      </w:tr>
      <w:tr w14:paraId="4D0E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0.52%</w:t>
            </w:r>
          </w:p>
        </w:tc>
      </w:tr>
      <w:tr w14:paraId="4337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华水分校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2.63%</w:t>
            </w:r>
          </w:p>
        </w:tc>
      </w:tr>
      <w:tr w14:paraId="6792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0.18%</w:t>
            </w:r>
          </w:p>
        </w:tc>
      </w:tr>
      <w:tr w14:paraId="2ABA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0.24%</w:t>
            </w:r>
          </w:p>
        </w:tc>
      </w:tr>
      <w:tr w14:paraId="4400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0.21%</w:t>
            </w:r>
          </w:p>
        </w:tc>
      </w:tr>
      <w:tr w14:paraId="79CD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油田开大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2.63%</w:t>
            </w:r>
          </w:p>
        </w:tc>
      </w:tr>
    </w:tbl>
    <w:p w14:paraId="50A6E5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53" w:lineRule="auto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>图表1 2024年秋季学期各市级开大学位申报数据</w:t>
      </w:r>
    </w:p>
    <w:p w14:paraId="27D0A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8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2024年秋季学期省校各学院申报学位学生数量、学位授予率，详见图表2：</w:t>
      </w:r>
    </w:p>
    <w:p w14:paraId="7A36B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8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</w:p>
    <w:tbl>
      <w:tblPr>
        <w:tblStyle w:val="5"/>
        <w:tblW w:w="10346" w:type="dxa"/>
        <w:tblInd w:w="-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65"/>
        <w:gridCol w:w="1045"/>
        <w:gridCol w:w="1267"/>
        <w:gridCol w:w="1524"/>
        <w:gridCol w:w="1205"/>
        <w:gridCol w:w="1488"/>
      </w:tblGrid>
      <w:tr w14:paraId="6B9F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D5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16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BE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82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申报学位学生数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4F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学位申请率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2E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退回人数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D3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学位授予率</w:t>
            </w:r>
          </w:p>
        </w:tc>
      </w:tr>
      <w:tr w14:paraId="028E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67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E7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人文与设计学院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82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A2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2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0.94%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6E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62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90.91%</w:t>
            </w:r>
          </w:p>
        </w:tc>
      </w:tr>
      <w:tr w14:paraId="568D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E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75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工商与财会学院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1A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0F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4F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0.69%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EF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84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033C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26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B4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建筑工程与智能建造学院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AD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8D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F5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0.34%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EA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E5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</w:tr>
      <w:tr w14:paraId="566C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50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88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信息工程与人工智能学院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43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A8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79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0.78%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91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95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73E0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C6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8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机电工程与智能制造学院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0C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07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B0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1.43%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8B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B6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66.67%</w:t>
            </w:r>
          </w:p>
        </w:tc>
      </w:tr>
    </w:tbl>
    <w:p w14:paraId="429147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53" w:lineRule="auto"/>
        <w:ind w:right="0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>图表2 2024年秋季学期各学院学位申报数据</w:t>
      </w:r>
    </w:p>
    <w:p w14:paraId="4B5F65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8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2024年秋季学期申报学位学生涉及14个专业，各专业申报学位学生数量、退回人数及学位授予率，详见图表3：</w:t>
      </w:r>
    </w:p>
    <w:tbl>
      <w:tblPr>
        <w:tblStyle w:val="5"/>
        <w:tblW w:w="10340" w:type="dxa"/>
        <w:tblInd w:w="-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39"/>
        <w:gridCol w:w="2016"/>
        <w:gridCol w:w="1193"/>
        <w:gridCol w:w="1070"/>
        <w:gridCol w:w="1057"/>
        <w:gridCol w:w="811"/>
        <w:gridCol w:w="1230"/>
      </w:tblGrid>
      <w:tr w14:paraId="7BD0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5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6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归属学院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本科毕业生数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6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申报学位人数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2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 w14:paraId="034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申请率</w:t>
            </w:r>
          </w:p>
        </w:tc>
        <w:tc>
          <w:tcPr>
            <w:tcW w:w="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7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退回人数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4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 w14:paraId="7EA3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授予率</w:t>
            </w:r>
          </w:p>
        </w:tc>
      </w:tr>
      <w:tr w14:paraId="5DB9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1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9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D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人文与设计学院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D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0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5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9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E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</w:tr>
      <w:tr w14:paraId="5BF0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6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9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A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人文与设计学院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F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3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8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4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83.33%</w:t>
            </w:r>
          </w:p>
        </w:tc>
      </w:tr>
      <w:tr w14:paraId="14B2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0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4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工商与财会学院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7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E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F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A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43A3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6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B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E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建筑工程与智能建造学院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A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4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B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7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C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</w:tr>
      <w:tr w14:paraId="0067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C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9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3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人文与设计学院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3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F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5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D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6CFF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4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1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4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信息工程与人工智能学院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0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A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D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B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4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169B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0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7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人文与设计学院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8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4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8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F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A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66.67%</w:t>
            </w:r>
          </w:p>
        </w:tc>
      </w:tr>
      <w:tr w14:paraId="77CF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0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1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3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机电工程与智能制造学院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9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F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F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0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</w:tr>
      <w:tr w14:paraId="21A2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8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1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7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工商与财会学院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1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F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7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6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F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3E21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0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3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A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工商与财会学院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8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B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D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B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6DF3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5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D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1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工商与财会学院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B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2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B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9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E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582F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9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C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6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工商与财会学院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5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E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0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D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070A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4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6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3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机电工程与智能制造学院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0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8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B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2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8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23F9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8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A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7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人文与设计学院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7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A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F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F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D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 w14:paraId="1A3C64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53" w:lineRule="auto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>图表3 2024年秋季学期各专业学位申报数据</w:t>
      </w:r>
    </w:p>
    <w:p w14:paraId="5F775630">
      <w:pPr>
        <w:spacing w:before="49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二、存在问题</w:t>
      </w:r>
    </w:p>
    <w:p w14:paraId="6E0E1D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after="223" w:line="224" w:lineRule="auto"/>
        <w:ind w:left="65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（一）学位申请率仍有待提高</w:t>
      </w:r>
    </w:p>
    <w:p w14:paraId="1C7AB3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textAlignment w:val="baseline"/>
        <w:rPr>
          <w:spacing w:val="6"/>
        </w:rPr>
      </w:pP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6"/>
        </w:rPr>
        <w:t>年秋季学期</w:t>
      </w:r>
      <w:r>
        <w:rPr>
          <w:rFonts w:hint="eastAsia"/>
          <w:spacing w:val="6"/>
          <w:lang w:val="en-US" w:eastAsia="zh-CN"/>
        </w:rPr>
        <w:t>河南开放大学毕业生人数为7792人，</w:t>
      </w:r>
      <w:r>
        <w:rPr>
          <w:spacing w:val="6"/>
        </w:rPr>
        <w:t>学位申请人数为</w:t>
      </w:r>
      <w:r>
        <w:rPr>
          <w:rFonts w:hint="eastAsia"/>
          <w:spacing w:val="6"/>
          <w:lang w:val="en-US" w:eastAsia="zh-CN"/>
        </w:rPr>
        <w:t>62</w:t>
      </w:r>
      <w:r>
        <w:rPr>
          <w:spacing w:val="6"/>
        </w:rPr>
        <w:t>人，学位申请率为</w:t>
      </w:r>
      <w:r>
        <w:rPr>
          <w:rFonts w:hint="eastAsia"/>
          <w:spacing w:val="6"/>
        </w:rPr>
        <w:t>0.80%</w:t>
      </w:r>
      <w:r>
        <w:rPr>
          <w:spacing w:val="6"/>
        </w:rPr>
        <w:t>，</w:t>
      </w:r>
      <w:r>
        <w:rPr>
          <w:rFonts w:hint="eastAsia"/>
          <w:spacing w:val="6"/>
          <w:lang w:val="en-US" w:eastAsia="zh-CN"/>
        </w:rPr>
        <w:t>较</w:t>
      </w:r>
      <w:r>
        <w:rPr>
          <w:spacing w:val="6"/>
        </w:rPr>
        <w:t>上学期</w:t>
      </w:r>
      <w:r>
        <w:rPr>
          <w:rFonts w:hint="eastAsia"/>
          <w:spacing w:val="6"/>
          <w:lang w:val="en-US" w:eastAsia="zh-CN"/>
        </w:rPr>
        <w:t>学位申请人数增长了17人，</w:t>
      </w:r>
      <w:r>
        <w:rPr>
          <w:spacing w:val="6"/>
        </w:rPr>
        <w:t>学位申请率</w:t>
      </w:r>
      <w:r>
        <w:rPr>
          <w:rFonts w:hint="eastAsia"/>
          <w:spacing w:val="6"/>
          <w:lang w:val="en-US" w:eastAsia="zh-CN"/>
        </w:rPr>
        <w:t>增长了0.11%</w:t>
      </w:r>
      <w:r>
        <w:rPr>
          <w:spacing w:val="6"/>
        </w:rPr>
        <w:t>。</w:t>
      </w:r>
    </w:p>
    <w:p w14:paraId="29DF2C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textAlignment w:val="baseline"/>
        <w:rPr>
          <w:rFonts w:hint="eastAsia"/>
          <w:spacing w:val="9"/>
          <w:lang w:val="en-US" w:eastAsia="zh-CN"/>
        </w:rPr>
      </w:pPr>
      <w:r>
        <w:rPr>
          <w:spacing w:val="6"/>
        </w:rPr>
        <w:t>在</w:t>
      </w:r>
      <w:r>
        <w:rPr>
          <w:rFonts w:hint="eastAsia"/>
          <w:spacing w:val="6"/>
          <w:lang w:val="en-US" w:eastAsia="zh-CN"/>
        </w:rPr>
        <w:t>2024年</w:t>
      </w:r>
      <w:r>
        <w:rPr>
          <w:spacing w:val="6"/>
        </w:rPr>
        <w:t>秋季学期</w:t>
      </w:r>
      <w:r>
        <w:rPr>
          <w:rFonts w:hint="eastAsia"/>
          <w:spacing w:val="6"/>
          <w:lang w:val="en-US" w:eastAsia="zh-CN"/>
        </w:rPr>
        <w:t>18个提交</w:t>
      </w:r>
      <w:r>
        <w:rPr>
          <w:spacing w:val="6"/>
        </w:rPr>
        <w:t>学位申请</w:t>
      </w:r>
      <w:r>
        <w:rPr>
          <w:rFonts w:hint="eastAsia"/>
          <w:spacing w:val="6"/>
          <w:lang w:val="en-US" w:eastAsia="zh-CN"/>
        </w:rPr>
        <w:t>的市级开大</w:t>
      </w:r>
      <w:r>
        <w:rPr>
          <w:spacing w:val="6"/>
        </w:rPr>
        <w:t>中，</w:t>
      </w:r>
      <w:r>
        <w:rPr>
          <w:rFonts w:hint="eastAsia"/>
          <w:spacing w:val="6"/>
          <w:lang w:val="en-US" w:eastAsia="zh-CN"/>
        </w:rPr>
        <w:t>14个市级开大</w:t>
      </w:r>
      <w:r>
        <w:rPr>
          <w:spacing w:val="6"/>
        </w:rPr>
        <w:t>的学位申请人数、学位申请率较 2024 年春季学期均有所提高</w:t>
      </w:r>
      <w:r>
        <w:rPr>
          <w:spacing w:val="7"/>
        </w:rPr>
        <w:t>。</w:t>
      </w:r>
      <w:r>
        <w:rPr>
          <w:rFonts w:hint="eastAsia"/>
          <w:spacing w:val="6"/>
          <w:lang w:val="en-US" w:eastAsia="zh-CN"/>
        </w:rPr>
        <w:t>其中洛阳开大、郑铁开放放学院申报学位学生人数增长较明显，</w:t>
      </w:r>
      <w:r>
        <w:rPr>
          <w:rFonts w:hint="eastAsia"/>
          <w:spacing w:val="7"/>
          <w:lang w:val="en-US" w:eastAsia="zh-CN"/>
        </w:rPr>
        <w:t>但</w:t>
      </w:r>
      <w:r>
        <w:rPr>
          <w:rFonts w:hint="eastAsia"/>
          <w:spacing w:val="7"/>
        </w:rPr>
        <w:t>周口开大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</w:rPr>
        <w:t>驻马店开大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</w:rPr>
        <w:t>濮阳开大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</w:rPr>
        <w:t>鹤壁开大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</w:rPr>
        <w:t>夏邑开大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</w:rPr>
        <w:t>项城开大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</w:rPr>
        <w:t>潢川开大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  <w:lang w:val="en-US" w:eastAsia="zh-CN"/>
        </w:rPr>
        <w:t>工商开大</w:t>
      </w:r>
      <w:r>
        <w:rPr>
          <w:rFonts w:hint="eastAsia"/>
          <w:spacing w:val="5"/>
          <w:lang w:val="en-US" w:eastAsia="zh-CN"/>
        </w:rPr>
        <w:t>8个市级开大</w:t>
      </w:r>
      <w:r>
        <w:rPr>
          <w:spacing w:val="5"/>
        </w:rPr>
        <w:t>在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spacing w:val="5"/>
        </w:rPr>
        <w:t>年秋季学期有本科毕业生，</w:t>
      </w:r>
      <w:r>
        <w:rPr>
          <w:spacing w:val="9"/>
        </w:rPr>
        <w:t>无学生申请学位</w:t>
      </w:r>
      <w:r>
        <w:rPr>
          <w:rFonts w:hint="eastAsia"/>
          <w:spacing w:val="9"/>
          <w:lang w:val="en-US" w:eastAsia="zh-CN"/>
        </w:rPr>
        <w:t>。</w:t>
      </w:r>
    </w:p>
    <w:p w14:paraId="0C9A4F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textAlignment w:val="baseline"/>
        <w:rPr>
          <w:rFonts w:hint="eastAsia"/>
          <w:spacing w:val="9"/>
          <w:lang w:val="en-US" w:eastAsia="zh-CN"/>
        </w:rPr>
      </w:pPr>
      <w:r>
        <w:rPr>
          <w:spacing w:val="6"/>
        </w:rPr>
        <w:t>在</w:t>
      </w:r>
      <w:r>
        <w:rPr>
          <w:rFonts w:hint="eastAsia"/>
          <w:spacing w:val="6"/>
          <w:lang w:val="en-US" w:eastAsia="zh-CN"/>
        </w:rPr>
        <w:t>2024年</w:t>
      </w:r>
      <w:r>
        <w:rPr>
          <w:spacing w:val="6"/>
        </w:rPr>
        <w:t>秋季学期</w:t>
      </w:r>
      <w:r>
        <w:rPr>
          <w:rFonts w:hint="eastAsia"/>
          <w:spacing w:val="6"/>
          <w:lang w:val="en-US" w:eastAsia="zh-CN"/>
        </w:rPr>
        <w:t>提交</w:t>
      </w:r>
      <w:r>
        <w:rPr>
          <w:spacing w:val="6"/>
        </w:rPr>
        <w:t>学位申请</w:t>
      </w:r>
      <w:r>
        <w:rPr>
          <w:rFonts w:hint="eastAsia"/>
          <w:spacing w:val="6"/>
          <w:lang w:val="en-US" w:eastAsia="zh-CN"/>
        </w:rPr>
        <w:t>的专业所属的学院中</w:t>
      </w:r>
      <w:r>
        <w:rPr>
          <w:spacing w:val="6"/>
        </w:rPr>
        <w:t>，</w:t>
      </w:r>
      <w:r>
        <w:rPr>
          <w:rFonts w:hint="eastAsia"/>
          <w:spacing w:val="6"/>
          <w:lang w:val="en-US" w:eastAsia="zh-CN"/>
        </w:rPr>
        <w:t>5个学院</w:t>
      </w:r>
      <w:r>
        <w:rPr>
          <w:spacing w:val="6"/>
        </w:rPr>
        <w:t>的学位申请人数、学位申请率较 2024 年春季学期均有所提高</w:t>
      </w:r>
      <w:r>
        <w:rPr>
          <w:spacing w:val="7"/>
        </w:rPr>
        <w:t>。</w:t>
      </w:r>
      <w:r>
        <w:rPr>
          <w:rFonts w:hint="eastAsia"/>
          <w:spacing w:val="7"/>
          <w:lang w:val="en-US" w:eastAsia="zh-CN"/>
        </w:rPr>
        <w:t>但乡村振兴学院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年秋季学期有本科毕业生，</w:t>
      </w:r>
      <w:r>
        <w:rPr>
          <w:spacing w:val="9"/>
        </w:rPr>
        <w:t>无学生申请学位</w:t>
      </w:r>
      <w:r>
        <w:rPr>
          <w:rFonts w:hint="eastAsia"/>
          <w:spacing w:val="9"/>
          <w:lang w:val="en-US" w:eastAsia="zh-CN"/>
        </w:rPr>
        <w:t>。</w:t>
      </w:r>
    </w:p>
    <w:p w14:paraId="3A24B2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textAlignment w:val="baseline"/>
        <w:rPr>
          <w:rFonts w:hint="eastAsia"/>
          <w:spacing w:val="9"/>
          <w:lang w:val="en-US" w:eastAsia="zh-CN"/>
        </w:rPr>
      </w:pPr>
      <w:r>
        <w:rPr>
          <w:spacing w:val="6"/>
        </w:rPr>
        <w:t>在</w:t>
      </w:r>
      <w:r>
        <w:rPr>
          <w:rFonts w:hint="eastAsia"/>
          <w:spacing w:val="6"/>
          <w:lang w:val="en-US" w:eastAsia="zh-CN"/>
        </w:rPr>
        <w:t>2024年</w:t>
      </w:r>
      <w:r>
        <w:rPr>
          <w:spacing w:val="6"/>
        </w:rPr>
        <w:t>秋季学期</w:t>
      </w:r>
      <w:r>
        <w:rPr>
          <w:rFonts w:hint="eastAsia"/>
          <w:spacing w:val="6"/>
          <w:lang w:val="en-US" w:eastAsia="zh-CN"/>
        </w:rPr>
        <w:t>14个提交</w:t>
      </w:r>
      <w:r>
        <w:rPr>
          <w:spacing w:val="6"/>
        </w:rPr>
        <w:t>学位申请</w:t>
      </w:r>
      <w:r>
        <w:rPr>
          <w:rFonts w:hint="eastAsia"/>
          <w:spacing w:val="6"/>
          <w:lang w:val="en-US" w:eastAsia="zh-CN"/>
        </w:rPr>
        <w:t>的专业</w:t>
      </w:r>
      <w:r>
        <w:rPr>
          <w:spacing w:val="6"/>
        </w:rPr>
        <w:t>中，</w:t>
      </w:r>
      <w:r>
        <w:rPr>
          <w:rFonts w:hint="eastAsia"/>
          <w:spacing w:val="6"/>
          <w:lang w:val="en-US" w:eastAsia="zh-CN"/>
        </w:rPr>
        <w:t>11个专业</w:t>
      </w:r>
      <w:r>
        <w:rPr>
          <w:spacing w:val="6"/>
        </w:rPr>
        <w:t>的学位申请人数、学位申请率较 2024 年春季学期均有所提高</w:t>
      </w:r>
      <w:r>
        <w:rPr>
          <w:rFonts w:hint="eastAsia"/>
          <w:spacing w:val="6"/>
          <w:lang w:eastAsia="zh-CN"/>
        </w:rPr>
        <w:t>，</w:t>
      </w:r>
      <w:r>
        <w:rPr>
          <w:rFonts w:hint="eastAsia"/>
          <w:spacing w:val="6"/>
          <w:lang w:val="en-US" w:eastAsia="zh-CN"/>
        </w:rPr>
        <w:t>其中法学专业、汉语言文学专业</w:t>
      </w:r>
      <w:r>
        <w:rPr>
          <w:spacing w:val="9"/>
        </w:rPr>
        <w:t>学位申请人数增长</w:t>
      </w:r>
      <w:r>
        <w:rPr>
          <w:rFonts w:hint="eastAsia"/>
          <w:spacing w:val="9"/>
          <w:lang w:val="en-US" w:eastAsia="zh-CN"/>
        </w:rPr>
        <w:t>明显</w:t>
      </w:r>
      <w:r>
        <w:rPr>
          <w:spacing w:val="7"/>
        </w:rPr>
        <w:t>。</w:t>
      </w:r>
      <w:r>
        <w:rPr>
          <w:rFonts w:hint="eastAsia"/>
          <w:spacing w:val="7"/>
          <w:lang w:val="en-US" w:eastAsia="zh-CN"/>
        </w:rPr>
        <w:t>但行政管理、</w:t>
      </w:r>
      <w:r>
        <w:rPr>
          <w:rFonts w:hint="eastAsia"/>
          <w:spacing w:val="7"/>
        </w:rPr>
        <w:t>水利水电工程</w:t>
      </w:r>
      <w:r>
        <w:rPr>
          <w:rFonts w:hint="eastAsia"/>
          <w:spacing w:val="7"/>
          <w:lang w:eastAsia="zh-CN"/>
        </w:rPr>
        <w:t>、广告学、护理学、健康服务与管理、车辆工程、机器人工程、数据科学与大数据技术、物流管理、</w:t>
      </w:r>
      <w:r>
        <w:rPr>
          <w:rFonts w:hint="eastAsia"/>
          <w:spacing w:val="7"/>
          <w:lang w:val="en-US" w:eastAsia="zh-CN"/>
        </w:rPr>
        <w:t>电子商务、园艺、园林、农村区域发展等13个专业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年秋季学期有本科毕业生，</w:t>
      </w:r>
      <w:r>
        <w:rPr>
          <w:spacing w:val="9"/>
        </w:rPr>
        <w:t>无学生申请学位</w:t>
      </w:r>
      <w:r>
        <w:rPr>
          <w:rFonts w:hint="eastAsia"/>
          <w:spacing w:val="9"/>
          <w:lang w:val="en-US" w:eastAsia="zh-CN"/>
        </w:rPr>
        <w:t>。</w:t>
      </w:r>
    </w:p>
    <w:p w14:paraId="0EAA1B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textAlignment w:val="baseline"/>
        <w:rPr>
          <w:rFonts w:hint="eastAsia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以上无申报学位学生的市级开大、学院、专业，应加强学位申报宣传，采取积极举措鼓励学生申报学士学位。</w:t>
      </w:r>
    </w:p>
    <w:p w14:paraId="011336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（二）退回论文需加强指导与审核</w:t>
      </w:r>
    </w:p>
    <w:p w14:paraId="0209FA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4" w:firstLineChars="202"/>
        <w:jc w:val="both"/>
        <w:textAlignment w:val="baseline"/>
      </w:pPr>
      <w:r>
        <w:rPr>
          <w:rFonts w:hint="eastAsia"/>
          <w:spacing w:val="7"/>
          <w:lang w:val="en-US" w:eastAsia="zh-CN"/>
        </w:rPr>
        <w:t>2024年</w:t>
      </w:r>
      <w:r>
        <w:rPr>
          <w:spacing w:val="7"/>
        </w:rPr>
        <w:t>秋季学期退回论文共计</w:t>
      </w:r>
      <w:r>
        <w:rPr>
          <w:rFonts w:hint="eastAsia"/>
          <w:spacing w:val="-46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篇，退回论文的评语及分委</w:t>
      </w:r>
      <w:r>
        <w:rPr>
          <w:spacing w:val="8"/>
        </w:rPr>
        <w:t>员会审核意见已</w:t>
      </w:r>
      <w:r>
        <w:rPr>
          <w:rFonts w:hint="eastAsia"/>
          <w:spacing w:val="8"/>
          <w:lang w:val="en-US" w:eastAsia="zh-CN"/>
        </w:rPr>
        <w:t>下发至“河南开放大学学位申报工作”QQ群和“开放教育本科专业负责人”企业微信群</w:t>
      </w:r>
      <w:r>
        <w:rPr>
          <w:spacing w:val="8"/>
        </w:rPr>
        <w:t>，同时通过“好签”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反馈给相关学生和指导</w:t>
      </w:r>
      <w:r>
        <w:rPr>
          <w:spacing w:val="9"/>
        </w:rPr>
        <w:t>教师进行签字确认。被退回的论文务必严格按照评审意见进</w:t>
      </w:r>
      <w:r>
        <w:rPr>
          <w:spacing w:val="8"/>
        </w:rPr>
        <w:t>行修改和完善，并于</w:t>
      </w:r>
      <w:r>
        <w:rPr>
          <w:rFonts w:ascii="Times New Roman" w:hAnsi="Times New Roman" w:eastAsia="Times New Roman" w:cs="Times New Roman"/>
          <w:spacing w:val="8"/>
        </w:rPr>
        <w:t xml:space="preserve">2025 </w:t>
      </w:r>
      <w:r>
        <w:rPr>
          <w:spacing w:val="8"/>
        </w:rPr>
        <w:t>年春季学期再次提交申请</w:t>
      </w:r>
      <w:r>
        <w:rPr>
          <w:spacing w:val="7"/>
        </w:rPr>
        <w:t>，各</w:t>
      </w:r>
      <w:r>
        <w:rPr>
          <w:rFonts w:hint="eastAsia"/>
          <w:spacing w:val="7"/>
          <w:lang w:val="en-US" w:eastAsia="zh-CN"/>
        </w:rPr>
        <w:t>市级开大、学院</w:t>
      </w:r>
      <w:r>
        <w:rPr>
          <w:spacing w:val="9"/>
        </w:rPr>
        <w:t>应加强对这部分论文的指导及审核等环节，切实提高二次提交论文的通过率，同时采取有效措施，继续加强学</w:t>
      </w:r>
      <w:r>
        <w:rPr>
          <w:spacing w:val="8"/>
        </w:rPr>
        <w:t>位论文质量管理，进一步提高学位授予率。</w:t>
      </w:r>
    </w:p>
    <w:p w14:paraId="441B7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（三）论文规范性问题亟需解决</w:t>
      </w:r>
    </w:p>
    <w:p w14:paraId="4B74A8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8"/>
        <w:textAlignment w:val="baseline"/>
      </w:pPr>
      <w:r>
        <w:rPr>
          <w:spacing w:val="-6"/>
        </w:rPr>
        <w:t>根据《</w:t>
      </w:r>
      <w:r>
        <w:rPr>
          <w:rFonts w:hint="eastAsia"/>
          <w:spacing w:val="-6"/>
          <w:lang w:val="en-US" w:eastAsia="zh-CN"/>
        </w:rPr>
        <w:t>河南开放大学学士学位工作管理办法（试行）</w:t>
      </w:r>
      <w:r>
        <w:rPr>
          <w:spacing w:val="-6"/>
        </w:rPr>
        <w:t>》</w:t>
      </w:r>
      <w:r>
        <w:rPr>
          <w:spacing w:val="-79"/>
          <w:w w:val="91"/>
        </w:rPr>
        <w:t>，</w:t>
      </w:r>
      <w: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市级</w:t>
      </w:r>
      <w:r>
        <w:rPr>
          <w:rFonts w:hint="eastAsia" w:cs="仿宋"/>
          <w:spacing w:val="16"/>
          <w:sz w:val="29"/>
          <w:szCs w:val="29"/>
          <w:lang w:val="en-US" w:eastAsia="zh-CN"/>
        </w:rPr>
        <w:t>开大应</w:t>
      </w:r>
      <w:r>
        <w:rPr>
          <w:rFonts w:ascii="仿宋" w:hAnsi="仿宋" w:eastAsia="仿宋" w:cs="仿宋"/>
          <w:spacing w:val="7"/>
          <w:sz w:val="29"/>
          <w:szCs w:val="29"/>
        </w:rPr>
        <w:t>成立学位工作领导小组</w:t>
      </w:r>
      <w:r>
        <w:rPr>
          <w:rFonts w:hint="eastAsia" w:cs="仿宋"/>
          <w:spacing w:val="7"/>
          <w:sz w:val="29"/>
          <w:szCs w:val="29"/>
          <w:lang w:eastAsia="zh-CN"/>
        </w:rPr>
        <w:t>，</w:t>
      </w:r>
      <w:r>
        <w:rPr>
          <w:rFonts w:hint="eastAsia"/>
          <w:lang w:val="en-US" w:eastAsia="zh-CN"/>
        </w:rPr>
        <w:t>省校</w:t>
      </w:r>
      <w:r>
        <w:rPr>
          <w:spacing w:val="9"/>
        </w:rPr>
        <w:t>各学院应成立</w:t>
      </w:r>
      <w:r>
        <w:rPr>
          <w:rFonts w:ascii="仿宋" w:hAnsi="仿宋" w:eastAsia="仿宋" w:cs="仿宋"/>
          <w:spacing w:val="8"/>
          <w:sz w:val="29"/>
          <w:szCs w:val="29"/>
        </w:rPr>
        <w:t>学位工作分委员会</w:t>
      </w:r>
      <w:r>
        <w:rPr>
          <w:spacing w:val="9"/>
        </w:rPr>
        <w:t>，</w:t>
      </w:r>
      <w:r>
        <w:rPr>
          <w:rFonts w:hint="eastAsia"/>
          <w:spacing w:val="9"/>
          <w:lang w:val="en-US" w:eastAsia="zh-CN"/>
        </w:rPr>
        <w:t>开放教育本科各专业应成立学位论文指导与答辩小组，</w:t>
      </w:r>
      <w:r>
        <w:rPr>
          <w:spacing w:val="9"/>
        </w:rPr>
        <w:t>开展学位论</w:t>
      </w:r>
      <w:r>
        <w:rPr>
          <w:spacing w:val="8"/>
        </w:rPr>
        <w:t>文基本格</w:t>
      </w:r>
      <w:r>
        <w:rPr>
          <w:spacing w:val="7"/>
        </w:rPr>
        <w:t>式和内容质量的审核，避免出现各类常见的规范性问题。</w:t>
      </w:r>
    </w:p>
    <w:p w14:paraId="207ED4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3"/>
        <w:textAlignment w:val="baseline"/>
      </w:pPr>
      <w:r>
        <w:rPr>
          <w:spacing w:val="5"/>
        </w:rPr>
        <w:t>论文中存在的规</w:t>
      </w:r>
      <w:r>
        <w:rPr>
          <w:spacing w:val="4"/>
        </w:rPr>
        <w:t>范性问题主要集中</w:t>
      </w:r>
      <w:r>
        <w:rPr>
          <w:spacing w:val="-20"/>
        </w:rPr>
        <w:t>在：</w:t>
      </w:r>
    </w:p>
    <w:p w14:paraId="3CEE60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6"/>
        <w:jc w:val="both"/>
        <w:textAlignment w:val="baseline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摘要：摘要字数不足；没有全面、精炼地概括论文的</w:t>
      </w:r>
      <w:r>
        <w:rPr>
          <w:spacing w:val="6"/>
        </w:rPr>
        <w:t>核心内容；</w:t>
      </w:r>
      <w:r>
        <w:rPr>
          <w:spacing w:val="-79"/>
        </w:rPr>
        <w:t xml:space="preserve"> </w:t>
      </w:r>
      <w:r>
        <w:rPr>
          <w:spacing w:val="6"/>
        </w:rPr>
        <w:t>内容不完整，缺失研究背景、目的、方法、结果</w:t>
      </w:r>
      <w:r>
        <w:rPr>
          <w:spacing w:val="8"/>
        </w:rPr>
        <w:t>等关键要素；摘要表述与绪论混淆。</w:t>
      </w:r>
    </w:p>
    <w:p w14:paraId="628972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7" w:firstLineChars="201"/>
        <w:jc w:val="both"/>
        <w:textAlignment w:val="baseline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题目：选题过大，不够聚焦，导致研究难以深入、内</w:t>
      </w:r>
      <w:r>
        <w:rPr>
          <w:spacing w:val="8"/>
        </w:rPr>
        <w:t>容空洞；选题过小，研究范围狭窄，缺乏足够的研究价值和</w:t>
      </w:r>
      <w:r>
        <w:rPr>
          <w:spacing w:val="9"/>
        </w:rPr>
        <w:t>意义；选题与专业不匹配，不符合专业研究范畴；题目表述</w:t>
      </w:r>
      <w:r>
        <w:rPr>
          <w:spacing w:val="7"/>
        </w:rPr>
        <w:t>模糊或存在语病，不能清晰传达论文的核心研究内容。</w:t>
      </w:r>
    </w:p>
    <w:p w14:paraId="5D3B04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5"/>
        <w:jc w:val="both"/>
        <w:textAlignment w:val="baseline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结构：结构不完整，缺少问题分析、研究过程等关键</w:t>
      </w:r>
      <w:r>
        <w:rPr>
          <w:spacing w:val="9"/>
        </w:rPr>
        <w:t>部分；论述逻辑混乱，论点不明确，各部分之间缺乏合理的逻辑关联，甚至出现前后矛盾的情况；各级标题与正文</w:t>
      </w:r>
      <w:r>
        <w:rPr>
          <w:spacing w:val="8"/>
        </w:rPr>
        <w:t>内容</w:t>
      </w:r>
      <w:r>
        <w:rPr>
          <w:spacing w:val="9"/>
        </w:rPr>
        <w:t>存在文不对题的现象；论文结构失衡，重点不突出；图、表</w:t>
      </w:r>
      <w:r>
        <w:rPr>
          <w:spacing w:val="3"/>
        </w:rPr>
        <w:t>内容与正文内容不对应。</w:t>
      </w:r>
    </w:p>
    <w:p w14:paraId="6843F3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8"/>
        <w:textAlignment w:val="baseline"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书写与格式规范：论文正文字数未达到专业要求；排</w:t>
      </w:r>
      <w:r>
        <w:rPr>
          <w:spacing w:val="6"/>
        </w:rPr>
        <w:t>版不规范，字体、字号、格式不符合学位论文要求；图、表</w:t>
      </w:r>
      <w:r>
        <w:rPr>
          <w:spacing w:val="5"/>
        </w:rPr>
        <w:t>缺少标题或序号，或书写不规范；</w:t>
      </w:r>
      <w:r>
        <w:rPr>
          <w:spacing w:val="-51"/>
        </w:rPr>
        <w:t xml:space="preserve"> </w:t>
      </w:r>
      <w:r>
        <w:rPr>
          <w:spacing w:val="5"/>
        </w:rPr>
        <w:t>图片模糊，表格为截图；</w:t>
      </w:r>
      <w:r>
        <w:rPr>
          <w:spacing w:val="6"/>
        </w:rPr>
        <w:t>论文目录标题与正文内标题存在差异。</w:t>
      </w:r>
    </w:p>
    <w:p w14:paraId="24D57B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6"/>
        <w:textAlignment w:val="baseline"/>
      </w:pPr>
      <w:r>
        <w:rPr>
          <w:rFonts w:ascii="Times New Roman" w:hAnsi="Times New Roman" w:eastAsia="Times New Roman" w:cs="Times New Roman"/>
          <w:spacing w:val="2"/>
        </w:rPr>
        <w:t>5.</w:t>
      </w:r>
      <w:r>
        <w:rPr>
          <w:spacing w:val="2"/>
        </w:rPr>
        <w:t>语言：论文中存在错别字、漏字、多字、语句不通顺，</w:t>
      </w:r>
      <w:r>
        <w:rPr>
          <w:spacing w:val="9"/>
        </w:rPr>
        <w:t>语法错误等问题；语言表述模糊、不准确、不专业，语</w:t>
      </w:r>
      <w:r>
        <w:rPr>
          <w:spacing w:val="8"/>
        </w:rPr>
        <w:t>言表</w:t>
      </w:r>
      <w:r>
        <w:rPr>
          <w:spacing w:val="5"/>
        </w:rPr>
        <w:t>达口语化。</w:t>
      </w:r>
    </w:p>
    <w:p w14:paraId="7E593F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5"/>
        <w:textAlignment w:val="baseline"/>
        <w:rPr>
          <w:spacing w:val="4"/>
        </w:rPr>
      </w:pPr>
      <w:r>
        <w:rPr>
          <w:rFonts w:ascii="Times New Roman" w:hAnsi="Times New Roman" w:eastAsia="Times New Roman" w:cs="Times New Roman"/>
          <w:spacing w:val="11"/>
        </w:rPr>
        <w:t>6.</w:t>
      </w:r>
      <w:r>
        <w:rPr>
          <w:spacing w:val="11"/>
        </w:rPr>
        <w:t>参考文献：参考文献在正文中未标注引用，或引用标</w:t>
      </w:r>
      <w:r>
        <w:rPr>
          <w:spacing w:val="7"/>
        </w:rPr>
        <w:t xml:space="preserve"> </w:t>
      </w:r>
      <w:r>
        <w:rPr>
          <w:spacing w:val="8"/>
        </w:rPr>
        <w:t>注序号混乱、书写格式不规范；参考文献与论文主题关联性</w:t>
      </w:r>
      <w:r>
        <w:rPr>
          <w:spacing w:val="14"/>
        </w:rPr>
        <w:t xml:space="preserve"> </w:t>
      </w:r>
      <w:r>
        <w:rPr>
          <w:spacing w:val="8"/>
        </w:rPr>
        <w:t>不强，权威性不强，文献陈旧、近五年内的文献较少，文献</w:t>
      </w:r>
      <w:r>
        <w:rPr>
          <w:spacing w:val="17"/>
        </w:rPr>
        <w:t xml:space="preserve"> </w:t>
      </w:r>
      <w:r>
        <w:rPr>
          <w:spacing w:val="4"/>
        </w:rPr>
        <w:t>不能为论文提供有效的参考价值；参考文献数量少于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10 </w:t>
      </w:r>
      <w:r>
        <w:rPr>
          <w:spacing w:val="4"/>
        </w:rPr>
        <w:t>篇。</w:t>
      </w:r>
    </w:p>
    <w:p w14:paraId="44C24B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5"/>
        <w:textAlignment w:val="baseline"/>
        <w:rPr>
          <w:rFonts w:ascii="Arial"/>
          <w:sz w:val="21"/>
        </w:rPr>
      </w:pPr>
      <w:r>
        <w:rPr>
          <w:spacing w:val="6"/>
        </w:rPr>
        <w:t>学士学位授予工作是</w:t>
      </w:r>
      <w:r>
        <w:rPr>
          <w:rFonts w:hint="eastAsia"/>
          <w:spacing w:val="6"/>
          <w:lang w:val="en-US" w:eastAsia="zh-CN"/>
        </w:rPr>
        <w:t>河南</w:t>
      </w:r>
      <w:r>
        <w:rPr>
          <w:spacing w:val="6"/>
        </w:rPr>
        <w:t>开放大学深化教育教</w:t>
      </w:r>
      <w:r>
        <w:rPr>
          <w:spacing w:val="5"/>
        </w:rPr>
        <w:t>学改革、</w:t>
      </w:r>
      <w:r>
        <w:rPr>
          <w:spacing w:val="9"/>
        </w:rPr>
        <w:t>提高人才培养质量的重要环节，学士学位论文质量是衡量本</w:t>
      </w:r>
      <w:r>
        <w:rPr>
          <w:spacing w:val="1"/>
        </w:rPr>
        <w:t>科教育教学质量的重要指标。各</w:t>
      </w:r>
      <w:r>
        <w:rPr>
          <w:rFonts w:hint="eastAsia"/>
          <w:spacing w:val="1"/>
          <w:lang w:val="en-US" w:eastAsia="zh-CN"/>
        </w:rPr>
        <w:t>市级开大、省校各学院</w:t>
      </w:r>
      <w:r>
        <w:t>要落实指导教师、</w:t>
      </w:r>
      <w:r>
        <w:rPr>
          <w:spacing w:val="9"/>
        </w:rPr>
        <w:t>答辩教师的能力培训，提高论文指导与质量把关能力</w:t>
      </w:r>
      <w:r>
        <w:rPr>
          <w:spacing w:val="8"/>
        </w:rPr>
        <w:t>；强化责任意识，在学位论文开题、指导、答辩、审核等关键环节</w:t>
      </w:r>
      <w:r>
        <w:rPr>
          <w:spacing w:val="9"/>
        </w:rPr>
        <w:t>严格执行全方位全流程管理；要进一步全面梳理论文评语中提出的各类问题，切实整改，杜绝各类规范性问题，不断提</w:t>
      </w:r>
      <w:r>
        <w:rPr>
          <w:spacing w:val="1"/>
        </w:rPr>
        <w:t>高学位论文质量。</w:t>
      </w:r>
    </w:p>
    <w:p w14:paraId="143EB366">
      <w:pPr>
        <w:spacing w:line="285" w:lineRule="auto"/>
        <w:rPr>
          <w:rFonts w:ascii="Arial"/>
          <w:sz w:val="21"/>
        </w:rPr>
      </w:pPr>
    </w:p>
    <w:p w14:paraId="7D0D297C">
      <w:pPr>
        <w:spacing w:line="285" w:lineRule="auto"/>
        <w:rPr>
          <w:rFonts w:ascii="Arial"/>
          <w:sz w:val="21"/>
        </w:rPr>
      </w:pPr>
    </w:p>
    <w:p w14:paraId="3B8E4562">
      <w:pPr>
        <w:spacing w:line="286" w:lineRule="auto"/>
        <w:rPr>
          <w:rFonts w:ascii="Arial"/>
          <w:sz w:val="21"/>
        </w:rPr>
      </w:pPr>
    </w:p>
    <w:p w14:paraId="5DC5A221">
      <w:pPr>
        <w:pStyle w:val="2"/>
        <w:spacing w:before="101" w:line="224" w:lineRule="auto"/>
        <w:ind w:left="5306"/>
        <w:rPr>
          <w:rFonts w:hint="eastAsia" w:eastAsia="仿宋"/>
          <w:lang w:val="en-US" w:eastAsia="zh-CN"/>
        </w:rPr>
      </w:pPr>
      <w:r>
        <w:rPr>
          <w:rFonts w:hint="eastAsia"/>
          <w:spacing w:val="3"/>
          <w:lang w:val="en-US" w:eastAsia="zh-CN"/>
        </w:rPr>
        <w:t>河南</w:t>
      </w:r>
      <w:r>
        <w:rPr>
          <w:spacing w:val="3"/>
        </w:rPr>
        <w:t>开放大学</w:t>
      </w:r>
      <w:r>
        <w:rPr>
          <w:rFonts w:hint="eastAsia"/>
          <w:spacing w:val="3"/>
          <w:lang w:val="en-US" w:eastAsia="zh-CN"/>
        </w:rPr>
        <w:t>教务处</w:t>
      </w:r>
    </w:p>
    <w:p w14:paraId="25D33B68">
      <w:pPr>
        <w:pStyle w:val="2"/>
        <w:spacing w:before="223" w:line="224" w:lineRule="auto"/>
        <w:ind w:firstLine="5400" w:firstLineChars="1800"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-5"/>
        </w:rPr>
        <w:t xml:space="preserve">  </w:t>
      </w:r>
      <w:r>
        <w:rPr>
          <w:spacing w:val="-5"/>
        </w:rPr>
        <w:t>日</w:t>
      </w:r>
    </w:p>
    <w:sectPr>
      <w:footerReference r:id="rId5" w:type="default"/>
      <w:pgSz w:w="11907" w:h="16839"/>
      <w:pgMar w:top="1431" w:right="1785" w:bottom="1244" w:left="1785" w:header="0" w:footer="99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F569A">
    <w:pPr>
      <w:spacing w:line="176" w:lineRule="auto"/>
      <w:ind w:left="381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A9A0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A9A0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052A18"/>
    <w:rsid w:val="02223D56"/>
    <w:rsid w:val="02E50728"/>
    <w:rsid w:val="03407427"/>
    <w:rsid w:val="041A1188"/>
    <w:rsid w:val="042B5143"/>
    <w:rsid w:val="045A1585"/>
    <w:rsid w:val="04730898"/>
    <w:rsid w:val="04F220C4"/>
    <w:rsid w:val="053B6E11"/>
    <w:rsid w:val="076F3599"/>
    <w:rsid w:val="077E558A"/>
    <w:rsid w:val="078608E3"/>
    <w:rsid w:val="08EC575D"/>
    <w:rsid w:val="091A12E3"/>
    <w:rsid w:val="09616F12"/>
    <w:rsid w:val="09B554AF"/>
    <w:rsid w:val="0C514C17"/>
    <w:rsid w:val="0D192952"/>
    <w:rsid w:val="0D505C1B"/>
    <w:rsid w:val="0D584ACF"/>
    <w:rsid w:val="0DA85EBF"/>
    <w:rsid w:val="0E107158"/>
    <w:rsid w:val="0E4A3C2F"/>
    <w:rsid w:val="0EF6634E"/>
    <w:rsid w:val="0F227143"/>
    <w:rsid w:val="0FC63F72"/>
    <w:rsid w:val="0FF7412C"/>
    <w:rsid w:val="122E5DFF"/>
    <w:rsid w:val="131119A8"/>
    <w:rsid w:val="13A445CA"/>
    <w:rsid w:val="13E250F3"/>
    <w:rsid w:val="14327E28"/>
    <w:rsid w:val="145F4995"/>
    <w:rsid w:val="147C10A3"/>
    <w:rsid w:val="1525798D"/>
    <w:rsid w:val="156F0C08"/>
    <w:rsid w:val="15CA5E3E"/>
    <w:rsid w:val="167D1103"/>
    <w:rsid w:val="168B7CC4"/>
    <w:rsid w:val="16A9014A"/>
    <w:rsid w:val="175E0F34"/>
    <w:rsid w:val="1A8E38DF"/>
    <w:rsid w:val="1AB23A71"/>
    <w:rsid w:val="1C0A168B"/>
    <w:rsid w:val="1C0C5403"/>
    <w:rsid w:val="1C4032FE"/>
    <w:rsid w:val="1C4050AC"/>
    <w:rsid w:val="1C511068"/>
    <w:rsid w:val="1C6568C1"/>
    <w:rsid w:val="1C737230"/>
    <w:rsid w:val="1C8A6328"/>
    <w:rsid w:val="1CF71C0F"/>
    <w:rsid w:val="1DA90A2F"/>
    <w:rsid w:val="1FC87893"/>
    <w:rsid w:val="20B83463"/>
    <w:rsid w:val="211D59BC"/>
    <w:rsid w:val="217C0935"/>
    <w:rsid w:val="21933ED0"/>
    <w:rsid w:val="21B207FA"/>
    <w:rsid w:val="21CF687C"/>
    <w:rsid w:val="22CE51C0"/>
    <w:rsid w:val="243948BB"/>
    <w:rsid w:val="255F2A47"/>
    <w:rsid w:val="25A466AC"/>
    <w:rsid w:val="26245763"/>
    <w:rsid w:val="26797B39"/>
    <w:rsid w:val="26BC06A2"/>
    <w:rsid w:val="26C568DA"/>
    <w:rsid w:val="26E825C8"/>
    <w:rsid w:val="277A5916"/>
    <w:rsid w:val="28B135BA"/>
    <w:rsid w:val="29A9603F"/>
    <w:rsid w:val="2A07545B"/>
    <w:rsid w:val="2C8114F5"/>
    <w:rsid w:val="2CAE4A0E"/>
    <w:rsid w:val="2D067C4C"/>
    <w:rsid w:val="2D8A74D6"/>
    <w:rsid w:val="2DB249DF"/>
    <w:rsid w:val="2E2E745B"/>
    <w:rsid w:val="2E876B6B"/>
    <w:rsid w:val="2E9436D8"/>
    <w:rsid w:val="2F2919D0"/>
    <w:rsid w:val="2F3D58ED"/>
    <w:rsid w:val="30444D13"/>
    <w:rsid w:val="306E3B3E"/>
    <w:rsid w:val="308B46F0"/>
    <w:rsid w:val="314F1BC2"/>
    <w:rsid w:val="315C7E3B"/>
    <w:rsid w:val="33A45AC9"/>
    <w:rsid w:val="342015F4"/>
    <w:rsid w:val="34DD5737"/>
    <w:rsid w:val="35BC534C"/>
    <w:rsid w:val="360B0081"/>
    <w:rsid w:val="36C22E36"/>
    <w:rsid w:val="370C5E5F"/>
    <w:rsid w:val="379A346B"/>
    <w:rsid w:val="39CD7B28"/>
    <w:rsid w:val="3B4E4C98"/>
    <w:rsid w:val="3B6A75F8"/>
    <w:rsid w:val="3BC66F24"/>
    <w:rsid w:val="3CB52AF5"/>
    <w:rsid w:val="3DA037A5"/>
    <w:rsid w:val="3FAE03FB"/>
    <w:rsid w:val="41764F49"/>
    <w:rsid w:val="432A7D99"/>
    <w:rsid w:val="43320D41"/>
    <w:rsid w:val="43F35365"/>
    <w:rsid w:val="45BE6EBE"/>
    <w:rsid w:val="468974CC"/>
    <w:rsid w:val="46D02A05"/>
    <w:rsid w:val="48AB372A"/>
    <w:rsid w:val="48C77E38"/>
    <w:rsid w:val="4A8050E2"/>
    <w:rsid w:val="4AEC1DD8"/>
    <w:rsid w:val="4B396FAF"/>
    <w:rsid w:val="4B4B4D50"/>
    <w:rsid w:val="4BCD7E5B"/>
    <w:rsid w:val="4CB94B39"/>
    <w:rsid w:val="4CD62D3F"/>
    <w:rsid w:val="4D8F6B17"/>
    <w:rsid w:val="4E204980"/>
    <w:rsid w:val="4ED223D5"/>
    <w:rsid w:val="4FA2515B"/>
    <w:rsid w:val="50EA7200"/>
    <w:rsid w:val="5150297B"/>
    <w:rsid w:val="51D81308"/>
    <w:rsid w:val="5201085F"/>
    <w:rsid w:val="550F344C"/>
    <w:rsid w:val="56066443"/>
    <w:rsid w:val="56A31EE4"/>
    <w:rsid w:val="56A63783"/>
    <w:rsid w:val="58E13419"/>
    <w:rsid w:val="58EB7B73"/>
    <w:rsid w:val="599E4BE5"/>
    <w:rsid w:val="5BE70AC5"/>
    <w:rsid w:val="5C5D48E3"/>
    <w:rsid w:val="5CE172C2"/>
    <w:rsid w:val="5D0336DD"/>
    <w:rsid w:val="5DED1C97"/>
    <w:rsid w:val="5DFC1EDA"/>
    <w:rsid w:val="5F50072F"/>
    <w:rsid w:val="5F553F98"/>
    <w:rsid w:val="5F9C3975"/>
    <w:rsid w:val="5FC52ECB"/>
    <w:rsid w:val="6042451C"/>
    <w:rsid w:val="60D91DBC"/>
    <w:rsid w:val="611834CF"/>
    <w:rsid w:val="627209BD"/>
    <w:rsid w:val="632C5010"/>
    <w:rsid w:val="63C96D02"/>
    <w:rsid w:val="64923598"/>
    <w:rsid w:val="64B95E83"/>
    <w:rsid w:val="65051FBC"/>
    <w:rsid w:val="6546685C"/>
    <w:rsid w:val="659155FE"/>
    <w:rsid w:val="65E87914"/>
    <w:rsid w:val="65F86A28"/>
    <w:rsid w:val="66157FDD"/>
    <w:rsid w:val="668501F1"/>
    <w:rsid w:val="672D1356"/>
    <w:rsid w:val="675B4115"/>
    <w:rsid w:val="67A55D1F"/>
    <w:rsid w:val="693469CC"/>
    <w:rsid w:val="6A1D1B56"/>
    <w:rsid w:val="6A5437CA"/>
    <w:rsid w:val="6B146AB5"/>
    <w:rsid w:val="6B600A01"/>
    <w:rsid w:val="6BBB33D4"/>
    <w:rsid w:val="6E4C47B8"/>
    <w:rsid w:val="6E4E0530"/>
    <w:rsid w:val="6FC63372"/>
    <w:rsid w:val="705428A9"/>
    <w:rsid w:val="70DE203F"/>
    <w:rsid w:val="71752277"/>
    <w:rsid w:val="71A768D5"/>
    <w:rsid w:val="721F290F"/>
    <w:rsid w:val="725C0037"/>
    <w:rsid w:val="73764E78"/>
    <w:rsid w:val="73C03C7E"/>
    <w:rsid w:val="73DE2356"/>
    <w:rsid w:val="749D7B1B"/>
    <w:rsid w:val="76564426"/>
    <w:rsid w:val="76EC6B38"/>
    <w:rsid w:val="776B5CAF"/>
    <w:rsid w:val="791D747D"/>
    <w:rsid w:val="79515378"/>
    <w:rsid w:val="79BF0534"/>
    <w:rsid w:val="7B07295D"/>
    <w:rsid w:val="7B842CAB"/>
    <w:rsid w:val="7B98103C"/>
    <w:rsid w:val="7BE424D4"/>
    <w:rsid w:val="7CA53A11"/>
    <w:rsid w:val="7D6F2271"/>
    <w:rsid w:val="7D715FE9"/>
    <w:rsid w:val="7F736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2804</Words>
  <Characters>3277</Characters>
  <TotalTime>8</TotalTime>
  <ScaleCrop>false</ScaleCrop>
  <LinksUpToDate>false</LinksUpToDate>
  <CharactersWithSpaces>3332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2025-03-21T09:47:00Z</dcterms:created>
  <dc:creator>赵正威</dc:creator>
  <cp:lastModifiedBy>批注</cp:lastModifiedBy>
  <dcterms:modified xsi:type="dcterms:W3CDTF">2025-04-09T09:04:16Z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2025-04-07T09:10:52Z</vt:filetime>
  </property>
  <property fmtid="{D5CDD505-2E9C-101B-9397-08002B2CF9AE}" pid="4" name="KSOTemplateDocerSaveRecord">
    <vt:lpwstr>eyJoZGlkIjoiMTc2NjA1ZDZmYzUwZjlkM2I3MDRkYzgyYzVkYmQwZmYiLCJ1c2VySWQiOiIyNzQyMjY0NCJ9</vt:lpwstr>
  </property>
  <property fmtid="{D5CDD505-2E9C-101B-9397-08002B2CF9AE}" pid="5" name="KSOProductBuildVer">
    <vt:lpwstr>2052-12.1.0.20784</vt:lpwstr>
  </property>
  <property fmtid="{D5CDD505-2E9C-101B-9397-08002B2CF9AE}" pid="6" name="ICV">
    <vt:lpwstr>0D00ACC2EB9F417CAF04EAB90132AB98_13</vt:lpwstr>
  </property>
</Properties>
</file>